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23" w:rsidRPr="00741E23" w:rsidRDefault="00741E23" w:rsidP="00741E23">
      <w:pPr>
        <w:ind w:firstLine="72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1E23">
        <w:rPr>
          <w:rFonts w:ascii="Times New Roman" w:hAnsi="Times New Roman" w:cs="Times New Roman"/>
          <w:b/>
          <w:sz w:val="36"/>
          <w:szCs w:val="36"/>
        </w:rPr>
        <w:t>I</w:t>
      </w:r>
      <w:r w:rsidRPr="00741E23">
        <w:rPr>
          <w:rFonts w:ascii="Times New Roman" w:hAnsi="Times New Roman" w:cs="Times New Roman"/>
          <w:b/>
          <w:sz w:val="36"/>
          <w:szCs w:val="36"/>
        </w:rPr>
        <w:t>CP-MS</w:t>
      </w:r>
      <w:r w:rsidRPr="00741E23">
        <w:rPr>
          <w:rFonts w:ascii="Times New Roman" w:hAnsi="Times New Roman" w:cs="Times New Roman"/>
          <w:b/>
          <w:sz w:val="36"/>
          <w:szCs w:val="36"/>
        </w:rPr>
        <w:t>送样须知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bookmarkStart w:id="0" w:name="_GoBack"/>
      <w:r w:rsidRPr="00F97647">
        <w:rPr>
          <w:rFonts w:ascii="Times New Roman" w:hAnsi="Times New Roman" w:cs="Times New Roman"/>
        </w:rPr>
        <w:t>为保护仪器，减少仪器的损耗，更好进行测试服务，送样需说明样品中含有的主要组分、试剂、大概浓度、稳定性等信息。对样品要求如下：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r w:rsidRPr="00F97647">
        <w:rPr>
          <w:rFonts w:ascii="Times New Roman" w:hAnsi="Times New Roman" w:cs="Times New Roman"/>
        </w:rPr>
        <w:t>（</w:t>
      </w:r>
      <w:r w:rsidRPr="00F97647">
        <w:rPr>
          <w:rFonts w:ascii="Times New Roman" w:hAnsi="Times New Roman" w:cs="Times New Roman"/>
        </w:rPr>
        <w:t>1</w:t>
      </w:r>
      <w:r w:rsidRPr="00F97647">
        <w:rPr>
          <w:rFonts w:ascii="Times New Roman" w:hAnsi="Times New Roman" w:cs="Times New Roman"/>
        </w:rPr>
        <w:t>）常规样品</w:t>
      </w:r>
      <w:r w:rsidRPr="00F97647">
        <w:rPr>
          <w:rFonts w:ascii="Times New Roman" w:hAnsi="Times New Roman" w:cs="Times New Roman"/>
        </w:rPr>
        <w:t>-</w:t>
      </w:r>
      <w:r w:rsidRPr="00F97647">
        <w:rPr>
          <w:rFonts w:ascii="Times New Roman" w:hAnsi="Times New Roman" w:cs="Times New Roman"/>
        </w:rPr>
        <w:t>测定元素总量要求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r w:rsidRPr="00F97647">
        <w:rPr>
          <w:rFonts w:ascii="Times New Roman" w:hAnsi="Times New Roman" w:cs="Times New Roman"/>
        </w:rPr>
        <w:t>1.</w:t>
      </w:r>
      <w:r w:rsidRPr="00F97647">
        <w:rPr>
          <w:rFonts w:ascii="Times New Roman" w:hAnsi="Times New Roman" w:cs="Times New Roman"/>
        </w:rPr>
        <w:t>样品为澄清透明的无机酸性溶液，大多数元素在酸性体系下稳定，酸度范围建议</w:t>
      </w:r>
      <w:r w:rsidRPr="00F97647">
        <w:rPr>
          <w:rFonts w:ascii="Times New Roman" w:hAnsi="Times New Roman" w:cs="Times New Roman"/>
        </w:rPr>
        <w:t>0.5%-2%</w:t>
      </w:r>
      <w:r w:rsidRPr="00F97647">
        <w:rPr>
          <w:rFonts w:ascii="Times New Roman" w:hAnsi="Times New Roman" w:cs="Times New Roman"/>
        </w:rPr>
        <w:t>，建议用的无机酸为硝酸、盐酸。如若溶液有氢氟酸、硫酸、磷酸（对仪器部件损耗较大</w:t>
      </w:r>
      <w:proofErr w:type="gramStart"/>
      <w:r w:rsidRPr="00F97647">
        <w:rPr>
          <w:rFonts w:ascii="Times New Roman" w:hAnsi="Times New Roman" w:cs="Times New Roman"/>
        </w:rPr>
        <w:t>大</w:t>
      </w:r>
      <w:proofErr w:type="gramEnd"/>
      <w:r w:rsidRPr="00F97647">
        <w:rPr>
          <w:rFonts w:ascii="Times New Roman" w:hAnsi="Times New Roman" w:cs="Times New Roman"/>
        </w:rPr>
        <w:t>），请尽可能在前处理过程中通过加热将酸蒸干再用稀硝酸</w:t>
      </w:r>
      <w:proofErr w:type="gramStart"/>
      <w:r w:rsidRPr="00F97647">
        <w:rPr>
          <w:rFonts w:ascii="Times New Roman" w:hAnsi="Times New Roman" w:cs="Times New Roman"/>
        </w:rPr>
        <w:t>复溶方式</w:t>
      </w:r>
      <w:proofErr w:type="gramEnd"/>
      <w:r w:rsidRPr="00F97647">
        <w:rPr>
          <w:rFonts w:ascii="Times New Roman" w:hAnsi="Times New Roman" w:cs="Times New Roman"/>
        </w:rPr>
        <w:t>赶酸，如若无法赶酸，需告知溶液含酸种类和酸度，再判断是否能测试。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r w:rsidRPr="00F97647">
        <w:rPr>
          <w:rFonts w:ascii="Times New Roman" w:hAnsi="Times New Roman" w:cs="Times New Roman"/>
        </w:rPr>
        <w:t>2.</w:t>
      </w:r>
      <w:r w:rsidRPr="00F97647">
        <w:rPr>
          <w:rFonts w:ascii="Times New Roman" w:hAnsi="Times New Roman" w:cs="Times New Roman"/>
        </w:rPr>
        <w:t>无机样品溶液不能含有颗粒物或沉淀，如若有颗粒物，须自行采用</w:t>
      </w:r>
      <w:r w:rsidRPr="00F97647">
        <w:rPr>
          <w:rFonts w:ascii="Times New Roman" w:hAnsi="Times New Roman" w:cs="Times New Roman"/>
        </w:rPr>
        <w:t>0.45μm</w:t>
      </w:r>
      <w:r w:rsidRPr="00F97647">
        <w:rPr>
          <w:rFonts w:ascii="Times New Roman" w:hAnsi="Times New Roman" w:cs="Times New Roman"/>
        </w:rPr>
        <w:t>水溶性针筒式滤膜过滤。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r w:rsidRPr="00F97647">
        <w:rPr>
          <w:rFonts w:ascii="Times New Roman" w:hAnsi="Times New Roman" w:cs="Times New Roman"/>
        </w:rPr>
        <w:t>3.</w:t>
      </w:r>
      <w:r w:rsidRPr="00F97647">
        <w:rPr>
          <w:rFonts w:ascii="Times New Roman" w:hAnsi="Times New Roman" w:cs="Times New Roman"/>
        </w:rPr>
        <w:t>如无机溶液中含有部分挥发性有机试剂，如甲醇、乙醇、醋酸等，含量控制在</w:t>
      </w:r>
      <w:r w:rsidRPr="00F97647">
        <w:rPr>
          <w:rFonts w:ascii="Times New Roman" w:hAnsi="Times New Roman" w:cs="Times New Roman"/>
        </w:rPr>
        <w:t>5%</w:t>
      </w:r>
      <w:r w:rsidRPr="00F97647">
        <w:rPr>
          <w:rFonts w:ascii="Times New Roman" w:hAnsi="Times New Roman" w:cs="Times New Roman"/>
        </w:rPr>
        <w:t>以下，否则仪器可能熄火。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r w:rsidRPr="00F97647">
        <w:rPr>
          <w:rFonts w:ascii="Times New Roman" w:hAnsi="Times New Roman" w:cs="Times New Roman"/>
        </w:rPr>
        <w:t>4.</w:t>
      </w:r>
      <w:r w:rsidRPr="00F97647">
        <w:rPr>
          <w:rFonts w:ascii="Times New Roman" w:hAnsi="Times New Roman" w:cs="Times New Roman"/>
        </w:rPr>
        <w:t>如无机溶液含有无机盐，如</w:t>
      </w:r>
      <w:r w:rsidRPr="00F97647">
        <w:rPr>
          <w:rFonts w:ascii="Times New Roman" w:hAnsi="Times New Roman" w:cs="Times New Roman"/>
        </w:rPr>
        <w:t>PBS</w:t>
      </w:r>
      <w:r w:rsidRPr="00F97647">
        <w:rPr>
          <w:rFonts w:ascii="Times New Roman" w:hAnsi="Times New Roman" w:cs="Times New Roman"/>
        </w:rPr>
        <w:t>、</w:t>
      </w:r>
      <w:proofErr w:type="spellStart"/>
      <w:r w:rsidRPr="00F97647">
        <w:rPr>
          <w:rFonts w:ascii="Times New Roman" w:hAnsi="Times New Roman" w:cs="Times New Roman"/>
        </w:rPr>
        <w:t>NaCl</w:t>
      </w:r>
      <w:proofErr w:type="spellEnd"/>
      <w:r w:rsidRPr="00F97647">
        <w:rPr>
          <w:rFonts w:ascii="Times New Roman" w:hAnsi="Times New Roman" w:cs="Times New Roman"/>
        </w:rPr>
        <w:t>等，请预估大概值并进行稀释，将</w:t>
      </w:r>
      <w:r w:rsidRPr="00F97647">
        <w:rPr>
          <w:rFonts w:ascii="Times New Roman" w:hAnsi="Times New Roman" w:cs="Times New Roman"/>
        </w:rPr>
        <w:t>TDS</w:t>
      </w:r>
      <w:r w:rsidRPr="00F97647">
        <w:rPr>
          <w:rFonts w:ascii="Times New Roman" w:hAnsi="Times New Roman" w:cs="Times New Roman"/>
        </w:rPr>
        <w:t>（总溶解性固体含量）降低至</w:t>
      </w:r>
      <w:r w:rsidRPr="00F97647">
        <w:rPr>
          <w:rFonts w:ascii="Times New Roman" w:hAnsi="Times New Roman" w:cs="Times New Roman"/>
        </w:rPr>
        <w:t>≤0.2%</w:t>
      </w:r>
      <w:r w:rsidRPr="00F97647">
        <w:rPr>
          <w:rFonts w:ascii="Times New Roman" w:hAnsi="Times New Roman" w:cs="Times New Roman"/>
        </w:rPr>
        <w:t>再送样。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r w:rsidRPr="00F97647">
        <w:rPr>
          <w:rFonts w:ascii="Times New Roman" w:hAnsi="Times New Roman" w:cs="Times New Roman"/>
        </w:rPr>
        <w:t>5.</w:t>
      </w:r>
      <w:r w:rsidRPr="00F97647">
        <w:rPr>
          <w:rFonts w:ascii="Times New Roman" w:hAnsi="Times New Roman" w:cs="Times New Roman"/>
        </w:rPr>
        <w:t>纯有机溶液或固体不能直接上机测试，请自行查阅相关资料进行酸化消解前处理完毕，转化为无机溶液再送样。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r w:rsidRPr="00F97647">
        <w:rPr>
          <w:rFonts w:ascii="Times New Roman" w:hAnsi="Times New Roman" w:cs="Times New Roman"/>
        </w:rPr>
        <w:t>6.</w:t>
      </w:r>
      <w:r w:rsidRPr="00F97647">
        <w:rPr>
          <w:rFonts w:ascii="Times New Roman" w:hAnsi="Times New Roman" w:cs="Times New Roman"/>
        </w:rPr>
        <w:t>固体样品经过消解处理时，</w:t>
      </w:r>
      <w:r w:rsidRPr="00F97647">
        <w:rPr>
          <w:rFonts w:ascii="Times New Roman" w:hAnsi="Times New Roman" w:cs="Times New Roman"/>
        </w:rPr>
        <w:t>TDS</w:t>
      </w:r>
      <w:r w:rsidRPr="00F97647">
        <w:rPr>
          <w:rFonts w:ascii="Times New Roman" w:hAnsi="Times New Roman" w:cs="Times New Roman"/>
        </w:rPr>
        <w:t>同样要求控制在</w:t>
      </w:r>
      <w:r w:rsidRPr="00F97647">
        <w:rPr>
          <w:rFonts w:ascii="Times New Roman" w:hAnsi="Times New Roman" w:cs="Times New Roman"/>
        </w:rPr>
        <w:t>0.2%</w:t>
      </w:r>
      <w:r w:rsidRPr="00F97647">
        <w:rPr>
          <w:rFonts w:ascii="Times New Roman" w:hAnsi="Times New Roman" w:cs="Times New Roman"/>
        </w:rPr>
        <w:t>以内，计算方式：如固体</w:t>
      </w:r>
      <w:proofErr w:type="gramStart"/>
      <w:r w:rsidRPr="00F97647">
        <w:rPr>
          <w:rFonts w:ascii="Times New Roman" w:hAnsi="Times New Roman" w:cs="Times New Roman"/>
        </w:rPr>
        <w:t>称样量</w:t>
      </w:r>
      <w:proofErr w:type="gramEnd"/>
      <w:r w:rsidRPr="00F97647">
        <w:rPr>
          <w:rFonts w:ascii="Times New Roman" w:hAnsi="Times New Roman" w:cs="Times New Roman"/>
        </w:rPr>
        <w:t>0.2g</w:t>
      </w:r>
      <w:r w:rsidRPr="00F97647">
        <w:rPr>
          <w:rFonts w:ascii="Times New Roman" w:hAnsi="Times New Roman" w:cs="Times New Roman"/>
        </w:rPr>
        <w:t>，则定容体积须</w:t>
      </w:r>
      <w:r w:rsidRPr="00F97647">
        <w:rPr>
          <w:rFonts w:ascii="Times New Roman" w:hAnsi="Times New Roman" w:cs="Times New Roman"/>
        </w:rPr>
        <w:t>≥100mL</w:t>
      </w:r>
      <w:r w:rsidRPr="00F97647">
        <w:rPr>
          <w:rFonts w:ascii="Times New Roman" w:hAnsi="Times New Roman" w:cs="Times New Roman"/>
        </w:rPr>
        <w:t>，动植物或含有较多有机物的固体消解时</w:t>
      </w:r>
      <w:r w:rsidRPr="00F97647">
        <w:rPr>
          <w:rFonts w:ascii="Times New Roman" w:hAnsi="Times New Roman" w:cs="Times New Roman"/>
        </w:rPr>
        <w:t>TDS</w:t>
      </w:r>
      <w:r w:rsidRPr="00F97647">
        <w:rPr>
          <w:rFonts w:ascii="Times New Roman" w:hAnsi="Times New Roman" w:cs="Times New Roman"/>
        </w:rPr>
        <w:t>可放宽要求（因为消解过程有机物会转成二氧化碳、二氧化氮等气体被除掉）。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r w:rsidRPr="00F97647">
        <w:rPr>
          <w:rFonts w:ascii="Times New Roman" w:hAnsi="Times New Roman" w:cs="Times New Roman"/>
        </w:rPr>
        <w:t>7.</w:t>
      </w:r>
      <w:r w:rsidRPr="00F97647">
        <w:rPr>
          <w:rFonts w:ascii="Times New Roman" w:hAnsi="Times New Roman" w:cs="Times New Roman"/>
        </w:rPr>
        <w:t>浓度范围：元素浓度建议在</w:t>
      </w:r>
      <w:r w:rsidRPr="00F97647">
        <w:rPr>
          <w:rFonts w:ascii="Times New Roman" w:hAnsi="Times New Roman" w:cs="Times New Roman"/>
        </w:rPr>
        <w:t>200ppb</w:t>
      </w:r>
      <w:r w:rsidRPr="00F97647">
        <w:rPr>
          <w:rFonts w:ascii="Times New Roman" w:hAnsi="Times New Roman" w:cs="Times New Roman"/>
        </w:rPr>
        <w:t>以内。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r w:rsidRPr="00F97647">
        <w:rPr>
          <w:rFonts w:ascii="Times New Roman" w:hAnsi="Times New Roman" w:cs="Times New Roman"/>
        </w:rPr>
        <w:t>8.</w:t>
      </w:r>
      <w:r w:rsidRPr="00F97647">
        <w:rPr>
          <w:rFonts w:ascii="Times New Roman" w:hAnsi="Times New Roman" w:cs="Times New Roman"/>
        </w:rPr>
        <w:t>水、试剂、器皿要求：实验用水建议超纯水（电阻率为</w:t>
      </w:r>
      <w:r w:rsidRPr="00F97647">
        <w:rPr>
          <w:rFonts w:ascii="Times New Roman" w:hAnsi="Times New Roman" w:cs="Times New Roman"/>
        </w:rPr>
        <w:t>18.2MΩ*cm</w:t>
      </w:r>
      <w:r w:rsidRPr="00F97647">
        <w:rPr>
          <w:rFonts w:ascii="Times New Roman" w:hAnsi="Times New Roman" w:cs="Times New Roman"/>
        </w:rPr>
        <w:t>），酸等试剂为优级纯级别以上（优级纯、电子级别、痕量金属级别等）。所有处理过程不用玻璃器皿（包括容量瓶、烧杯），可用塑料容量瓶、塑料离心管、聚四氟乙烯烧杯等塑料材质类型（</w:t>
      </w:r>
      <w:r w:rsidRPr="00F97647">
        <w:rPr>
          <w:rFonts w:ascii="Times New Roman" w:hAnsi="Times New Roman" w:cs="Times New Roman"/>
        </w:rPr>
        <w:t>PE</w:t>
      </w:r>
      <w:r w:rsidRPr="00F97647">
        <w:rPr>
          <w:rFonts w:ascii="Times New Roman" w:hAnsi="Times New Roman" w:cs="Times New Roman"/>
        </w:rPr>
        <w:t>、</w:t>
      </w:r>
      <w:r w:rsidRPr="00F97647">
        <w:rPr>
          <w:rFonts w:ascii="Times New Roman" w:hAnsi="Times New Roman" w:cs="Times New Roman"/>
        </w:rPr>
        <w:t>PP</w:t>
      </w:r>
      <w:r w:rsidRPr="00F97647">
        <w:rPr>
          <w:rFonts w:ascii="Times New Roman" w:hAnsi="Times New Roman" w:cs="Times New Roman"/>
        </w:rPr>
        <w:t>、</w:t>
      </w:r>
      <w:r w:rsidRPr="00F97647">
        <w:rPr>
          <w:rFonts w:ascii="Times New Roman" w:hAnsi="Times New Roman" w:cs="Times New Roman"/>
        </w:rPr>
        <w:t>LDPE</w:t>
      </w:r>
      <w:r w:rsidRPr="00F97647">
        <w:rPr>
          <w:rFonts w:ascii="Times New Roman" w:hAnsi="Times New Roman" w:cs="Times New Roman"/>
        </w:rPr>
        <w:t>、</w:t>
      </w:r>
      <w:r w:rsidRPr="00F97647">
        <w:rPr>
          <w:rFonts w:ascii="Times New Roman" w:hAnsi="Times New Roman" w:cs="Times New Roman"/>
        </w:rPr>
        <w:t>HDPE</w:t>
      </w:r>
      <w:r w:rsidRPr="00F97647">
        <w:rPr>
          <w:rFonts w:ascii="Times New Roman" w:hAnsi="Times New Roman" w:cs="Times New Roman"/>
        </w:rPr>
        <w:t>、</w:t>
      </w:r>
      <w:r w:rsidRPr="00F97647">
        <w:rPr>
          <w:rFonts w:ascii="Times New Roman" w:hAnsi="Times New Roman" w:cs="Times New Roman"/>
        </w:rPr>
        <w:t>PTFE</w:t>
      </w:r>
      <w:r w:rsidRPr="00F97647">
        <w:rPr>
          <w:rFonts w:ascii="Times New Roman" w:hAnsi="Times New Roman" w:cs="Times New Roman"/>
        </w:rPr>
        <w:t>、</w:t>
      </w:r>
      <w:r w:rsidRPr="00F97647">
        <w:rPr>
          <w:rFonts w:ascii="Times New Roman" w:hAnsi="Times New Roman" w:cs="Times New Roman"/>
        </w:rPr>
        <w:t>PFA</w:t>
      </w:r>
      <w:r w:rsidRPr="00F97647">
        <w:rPr>
          <w:rFonts w:ascii="Times New Roman" w:hAnsi="Times New Roman" w:cs="Times New Roman"/>
        </w:rPr>
        <w:t>）容器。</w:t>
      </w:r>
    </w:p>
    <w:p w:rsidR="00741E23" w:rsidRPr="00F97647" w:rsidRDefault="00741E23" w:rsidP="00741E23">
      <w:pPr>
        <w:ind w:firstLine="480"/>
        <w:rPr>
          <w:rFonts w:ascii="Times New Roman" w:hAnsi="Times New Roman" w:cs="Times New Roman"/>
        </w:rPr>
      </w:pPr>
      <w:r w:rsidRPr="00F97647">
        <w:rPr>
          <w:rFonts w:ascii="Times New Roman" w:hAnsi="Times New Roman" w:cs="Times New Roman"/>
        </w:rPr>
        <w:t>注意事项：如样品经过消解、稀释等前处理，送样需准备至少</w:t>
      </w:r>
      <w:r w:rsidRPr="00F97647">
        <w:rPr>
          <w:rFonts w:ascii="Times New Roman" w:hAnsi="Times New Roman" w:cs="Times New Roman"/>
        </w:rPr>
        <w:t>2</w:t>
      </w:r>
      <w:r w:rsidRPr="00F97647">
        <w:rPr>
          <w:rFonts w:ascii="Times New Roman" w:hAnsi="Times New Roman" w:cs="Times New Roman"/>
        </w:rPr>
        <w:t>个试剂空白（实验所用水或相应稀酸）和消解过程的全程序空白（除不加样品，但和样品经过其他完全相同处理步骤的空白溶液），空白是为了监控污染并且扣除空白。</w:t>
      </w:r>
      <w:bookmarkEnd w:id="0"/>
    </w:p>
    <w:sectPr w:rsidR="00741E23" w:rsidRPr="00F97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23"/>
    <w:rsid w:val="000809AA"/>
    <w:rsid w:val="0023316B"/>
    <w:rsid w:val="00411F92"/>
    <w:rsid w:val="004B1F13"/>
    <w:rsid w:val="00741E23"/>
    <w:rsid w:val="00F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A054"/>
  <w15:chartTrackingRefBased/>
  <w15:docId w15:val="{4EBFDA89-6199-452C-9F2A-55D2B622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1F92"/>
    <w:pPr>
      <w:widowControl w:val="0"/>
      <w:autoSpaceDE w:val="0"/>
      <w:autoSpaceDN w:val="0"/>
      <w:spacing w:line="360" w:lineRule="auto"/>
      <w:ind w:firstLineChars="200" w:firstLine="200"/>
      <w:jc w:val="both"/>
    </w:pPr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link w:val="10"/>
    <w:uiPriority w:val="1"/>
    <w:qFormat/>
    <w:rsid w:val="00411F92"/>
    <w:pPr>
      <w:spacing w:before="100" w:beforeAutospacing="1" w:after="100" w:afterAutospacing="1"/>
      <w:jc w:val="center"/>
      <w:outlineLvl w:val="0"/>
    </w:pPr>
    <w:rPr>
      <w:rFonts w:ascii="黑体" w:eastAsia="黑体" w:hAnsi="黑体" w:cs="黑体"/>
      <w:sz w:val="44"/>
      <w:szCs w:val="28"/>
    </w:rPr>
  </w:style>
  <w:style w:type="paragraph" w:styleId="2">
    <w:name w:val="heading 2"/>
    <w:basedOn w:val="a"/>
    <w:link w:val="20"/>
    <w:uiPriority w:val="1"/>
    <w:qFormat/>
    <w:rsid w:val="00411F92"/>
    <w:pPr>
      <w:spacing w:before="100" w:beforeAutospacing="1" w:after="100" w:afterAutospacing="1"/>
      <w:ind w:firstLine="480"/>
      <w:jc w:val="center"/>
      <w:outlineLvl w:val="1"/>
    </w:pPr>
    <w:rPr>
      <w:rFonts w:ascii="黑体" w:eastAsia="黑体" w:hAnsi="黑体" w:cs="黑体"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11F92"/>
    <w:pPr>
      <w:keepNext/>
      <w:keepLines/>
      <w:spacing w:before="100" w:beforeAutospacing="1"/>
      <w:ind w:firstLineChars="152" w:firstLine="426"/>
      <w:outlineLvl w:val="2"/>
    </w:pPr>
    <w:rPr>
      <w:rFonts w:ascii="Times New Roman" w:eastAsia="黑体" w:hAnsi="Times New Roman" w:cs="Times New Roman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link w:val="a4"/>
    <w:uiPriority w:val="1"/>
    <w:qFormat/>
    <w:rsid w:val="0023316B"/>
    <w:pPr>
      <w:tabs>
        <w:tab w:val="center" w:pos="4253"/>
        <w:tab w:val="right" w:pos="10207"/>
      </w:tabs>
      <w:jc w:val="right"/>
    </w:pPr>
    <w:rPr>
      <w:rFonts w:ascii="Times New Roman" w:hAnsi="Times New Roman"/>
    </w:rPr>
  </w:style>
  <w:style w:type="character" w:customStyle="1" w:styleId="a4">
    <w:name w:val="公式 字符"/>
    <w:basedOn w:val="a0"/>
    <w:link w:val="a3"/>
    <w:uiPriority w:val="1"/>
    <w:rsid w:val="0023316B"/>
    <w:rPr>
      <w:rFonts w:ascii="Times New Roman" w:eastAsia="宋体" w:hAnsi="Times New Roman" w:cs="宋体"/>
      <w:kern w:val="0"/>
      <w:sz w:val="24"/>
    </w:rPr>
  </w:style>
  <w:style w:type="character" w:customStyle="1" w:styleId="10">
    <w:name w:val="标题 1 字符"/>
    <w:basedOn w:val="a0"/>
    <w:link w:val="1"/>
    <w:uiPriority w:val="1"/>
    <w:rsid w:val="00411F92"/>
    <w:rPr>
      <w:rFonts w:ascii="黑体" w:eastAsia="黑体" w:hAnsi="黑体" w:cs="黑体"/>
      <w:kern w:val="0"/>
      <w:sz w:val="44"/>
      <w:szCs w:val="28"/>
    </w:rPr>
  </w:style>
  <w:style w:type="character" w:customStyle="1" w:styleId="20">
    <w:name w:val="标题 2 字符"/>
    <w:basedOn w:val="a0"/>
    <w:link w:val="2"/>
    <w:uiPriority w:val="1"/>
    <w:rsid w:val="00411F92"/>
    <w:rPr>
      <w:rFonts w:ascii="黑体" w:eastAsia="黑体" w:hAnsi="黑体" w:cs="黑体"/>
      <w:kern w:val="0"/>
      <w:sz w:val="32"/>
      <w:szCs w:val="24"/>
    </w:rPr>
  </w:style>
  <w:style w:type="character" w:customStyle="1" w:styleId="30">
    <w:name w:val="标题 3 字符"/>
    <w:basedOn w:val="a0"/>
    <w:link w:val="3"/>
    <w:uiPriority w:val="9"/>
    <w:rsid w:val="00411F92"/>
    <w:rPr>
      <w:rFonts w:ascii="Times New Roman" w:eastAsia="黑体" w:hAnsi="Times New Roman" w:cs="Times New Roman"/>
      <w:bCs/>
      <w:kern w:val="0"/>
      <w:sz w:val="28"/>
      <w:szCs w:val="32"/>
    </w:rPr>
  </w:style>
  <w:style w:type="paragraph" w:customStyle="1" w:styleId="tuzhu">
    <w:name w:val="tuzhu"/>
    <w:basedOn w:val="a"/>
    <w:link w:val="tuzhu0"/>
    <w:uiPriority w:val="1"/>
    <w:qFormat/>
    <w:rsid w:val="00411F92"/>
    <w:pPr>
      <w:ind w:firstLineChars="0" w:firstLine="0"/>
      <w:jc w:val="center"/>
    </w:pPr>
    <w:rPr>
      <w:rFonts w:eastAsia="黑体"/>
      <w:spacing w:val="-27"/>
      <w:szCs w:val="21"/>
    </w:rPr>
  </w:style>
  <w:style w:type="character" w:customStyle="1" w:styleId="tuzhu0">
    <w:name w:val="tuzhu 字符"/>
    <w:basedOn w:val="a0"/>
    <w:link w:val="tuzhu"/>
    <w:uiPriority w:val="1"/>
    <w:rsid w:val="00411F92"/>
    <w:rPr>
      <w:rFonts w:ascii="宋体" w:eastAsia="黑体" w:hAnsi="宋体" w:cs="宋体"/>
      <w:spacing w:val="-27"/>
      <w:kern w:val="0"/>
      <w:sz w:val="24"/>
      <w:szCs w:val="21"/>
    </w:rPr>
  </w:style>
  <w:style w:type="paragraph" w:customStyle="1" w:styleId="gongshi">
    <w:name w:val="gongshi"/>
    <w:basedOn w:val="a"/>
    <w:link w:val="gongshi0"/>
    <w:uiPriority w:val="1"/>
    <w:qFormat/>
    <w:rsid w:val="00411F92"/>
    <w:pPr>
      <w:tabs>
        <w:tab w:val="center" w:pos="4253"/>
        <w:tab w:val="right" w:pos="10207"/>
      </w:tabs>
      <w:ind w:firstLineChars="0" w:firstLine="0"/>
      <w:jc w:val="right"/>
    </w:pPr>
    <w:rPr>
      <w:rFonts w:ascii="Times New Roman" w:hAnsi="Times New Roman"/>
    </w:rPr>
  </w:style>
  <w:style w:type="character" w:customStyle="1" w:styleId="gongshi0">
    <w:name w:val="gongshi 字符"/>
    <w:basedOn w:val="a0"/>
    <w:link w:val="gongshi"/>
    <w:uiPriority w:val="1"/>
    <w:rsid w:val="00411F92"/>
    <w:rPr>
      <w:rFonts w:ascii="Times New Roman" w:eastAsia="宋体" w:hAnsi="Times New Roman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2025-07-07T02:32:00Z</dcterms:created>
  <dcterms:modified xsi:type="dcterms:W3CDTF">2025-07-07T02:59:00Z</dcterms:modified>
</cp:coreProperties>
</file>